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54D2C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Preliminary Analytical Estimates of Public Return</w:t>
      </w:r>
    </w:p>
    <w:p w14:paraId="2FBE70AB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Methodology and Assumptions</w:t>
      </w:r>
    </w:p>
    <w:p w14:paraId="37F5283D" w14:textId="77777777" w:rsidR="00BD2B13" w:rsidRPr="00BD2B13" w:rsidRDefault="00BD2B13" w:rsidP="00BD2B13">
      <w:r w:rsidRPr="00BD2B13">
        <w:rPr>
          <w:b/>
          <w:bCs/>
        </w:rPr>
        <w:t>Important Notice</w:t>
      </w:r>
    </w:p>
    <w:p w14:paraId="53157703" w14:textId="77777777" w:rsidR="00BD2B13" w:rsidRPr="00BD2B13" w:rsidRDefault="00BD2B13" w:rsidP="00BD2B13">
      <w:r w:rsidRPr="00BD2B13">
        <w:t>The following figures are preliminary analytical estimates and are not official company, county, state, or federal fiscal-impact figures.</w:t>
      </w:r>
    </w:p>
    <w:p w14:paraId="79839989" w14:textId="77777777" w:rsidR="00BD2B13" w:rsidRPr="00BD2B13" w:rsidRDefault="00BD2B13" w:rsidP="00BD2B13">
      <w:r w:rsidRPr="00BD2B13">
        <w:t>They are based on publicly reported project information, publicly available tax rates, and general economic assumptions intended to illustrate the potential scale of public return relative to project size.</w:t>
      </w:r>
    </w:p>
    <w:p w14:paraId="48A608BE" w14:textId="77777777" w:rsidR="00BD2B13" w:rsidRPr="00BD2B13" w:rsidRDefault="00BD2B13" w:rsidP="00BD2B13">
      <w:r w:rsidRPr="00BD2B13">
        <w:pict w14:anchorId="0282C3F5">
          <v:rect id="_x0000_i1061" style="width:0;height:1.5pt" o:hralign="center" o:hrstd="t" o:hr="t" fillcolor="#a0a0a0" stroked="f"/>
        </w:pict>
      </w:r>
    </w:p>
    <w:p w14:paraId="24AA3120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Publicly Reported Project Information</w:t>
      </w:r>
    </w:p>
    <w:p w14:paraId="302B52C5" w14:textId="77777777" w:rsidR="00BD2B13" w:rsidRPr="00BD2B13" w:rsidRDefault="00BD2B13" w:rsidP="00BD2B13">
      <w:r w:rsidRPr="00BD2B13">
        <w:t>The following figures have been publicly reported:</w:t>
      </w:r>
    </w:p>
    <w:p w14:paraId="0913279C" w14:textId="77777777" w:rsidR="00BD2B13" w:rsidRPr="00BD2B13" w:rsidRDefault="00BD2B13" w:rsidP="00BD2B13">
      <w:pPr>
        <w:numPr>
          <w:ilvl w:val="0"/>
          <w:numId w:val="1"/>
        </w:numPr>
      </w:pPr>
      <w:r w:rsidRPr="00BD2B13">
        <w:t>Approximately $170 million annual project revenue</w:t>
      </w:r>
    </w:p>
    <w:p w14:paraId="3EE34F8F" w14:textId="77777777" w:rsidR="00BD2B13" w:rsidRPr="00BD2B13" w:rsidRDefault="00BD2B13" w:rsidP="00BD2B13">
      <w:pPr>
        <w:numPr>
          <w:ilvl w:val="0"/>
          <w:numId w:val="1"/>
        </w:numPr>
      </w:pPr>
      <w:r w:rsidRPr="00BD2B13">
        <w:t>Approximately 60 permanent direct jobs</w:t>
      </w:r>
    </w:p>
    <w:p w14:paraId="316FEA28" w14:textId="77777777" w:rsidR="00BD2B13" w:rsidRPr="00BD2B13" w:rsidRDefault="00BD2B13" w:rsidP="00BD2B13">
      <w:pPr>
        <w:numPr>
          <w:ilvl w:val="0"/>
          <w:numId w:val="1"/>
        </w:numPr>
      </w:pPr>
      <w:r w:rsidRPr="00BD2B13">
        <w:t>Approximately $322 million publicly discussed project financing</w:t>
      </w:r>
    </w:p>
    <w:p w14:paraId="2D76C5C4" w14:textId="77777777" w:rsidR="00BD2B13" w:rsidRPr="00BD2B13" w:rsidRDefault="00BD2B13" w:rsidP="00BD2B13">
      <w:r w:rsidRPr="00BD2B13">
        <w:t>Sources include company statements, public reporting, and project-related interviews.</w:t>
      </w:r>
    </w:p>
    <w:p w14:paraId="408DC3C0" w14:textId="77777777" w:rsidR="00BD2B13" w:rsidRPr="00BD2B13" w:rsidRDefault="00BD2B13" w:rsidP="00BD2B13">
      <w:r w:rsidRPr="00BD2B13">
        <w:pict w14:anchorId="6DA447D9">
          <v:rect id="_x0000_i1062" style="width:0;height:1.5pt" o:hralign="center" o:hrstd="t" o:hr="t" fillcolor="#a0a0a0" stroked="f"/>
        </w:pict>
      </w:r>
    </w:p>
    <w:p w14:paraId="199B6489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Estimated Company Profit</w:t>
      </w:r>
    </w:p>
    <w:p w14:paraId="796C8FB1" w14:textId="77777777" w:rsidR="00BD2B13" w:rsidRPr="00BD2B13" w:rsidRDefault="00BD2B13" w:rsidP="00BD2B13">
      <w:r w:rsidRPr="00BD2B13">
        <w:t>Because no publicly reported profit figures have been identified, profit was estimated using a range of assumed operating margins.</w:t>
      </w:r>
    </w:p>
    <w:p w14:paraId="54D174C8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Assumed Profit Margin</w:t>
      </w:r>
    </w:p>
    <w:p w14:paraId="027A03B0" w14:textId="77777777" w:rsidR="00BD2B13" w:rsidRPr="00BD2B13" w:rsidRDefault="00BD2B13" w:rsidP="00BD2B13">
      <w:pPr>
        <w:numPr>
          <w:ilvl w:val="0"/>
          <w:numId w:val="2"/>
        </w:numPr>
      </w:pPr>
      <w:r w:rsidRPr="00BD2B13">
        <w:t>Low estimate: approximately 18%</w:t>
      </w:r>
    </w:p>
    <w:p w14:paraId="1DEC210D" w14:textId="77777777" w:rsidR="00BD2B13" w:rsidRPr="00BD2B13" w:rsidRDefault="00BD2B13" w:rsidP="00BD2B13">
      <w:pPr>
        <w:numPr>
          <w:ilvl w:val="0"/>
          <w:numId w:val="2"/>
        </w:numPr>
      </w:pPr>
      <w:r w:rsidRPr="00BD2B13">
        <w:t>High estimate: approximately 21%</w:t>
      </w:r>
    </w:p>
    <w:p w14:paraId="06BCA65A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Calculation</w:t>
      </w:r>
    </w:p>
    <w:p w14:paraId="0E467EC6" w14:textId="77777777" w:rsidR="00BD2B13" w:rsidRPr="00BD2B13" w:rsidRDefault="00BD2B13" w:rsidP="00BD2B13">
      <w:r w:rsidRPr="00BD2B13">
        <w:t xml:space="preserve">$170 </w:t>
      </w:r>
      <w:proofErr w:type="gramStart"/>
      <w:r w:rsidRPr="00BD2B13">
        <w:t>million × 18%</w:t>
      </w:r>
      <w:proofErr w:type="gramEnd"/>
      <w:r w:rsidRPr="00BD2B13">
        <w:t xml:space="preserve"> = approximately $30.6 million annual profit</w:t>
      </w:r>
    </w:p>
    <w:p w14:paraId="417A2E9F" w14:textId="77777777" w:rsidR="00BD2B13" w:rsidRPr="00BD2B13" w:rsidRDefault="00BD2B13" w:rsidP="00BD2B13">
      <w:r w:rsidRPr="00BD2B13">
        <w:t>$170 million × 21% = approximately $35.7 million annual profit</w:t>
      </w:r>
    </w:p>
    <w:p w14:paraId="075B688D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Estimated Annual Company Profit</w:t>
      </w:r>
    </w:p>
    <w:p w14:paraId="58C69415" w14:textId="77777777" w:rsidR="00BD2B13" w:rsidRPr="00BD2B13" w:rsidRDefault="00BD2B13" w:rsidP="00BD2B13">
      <w:r w:rsidRPr="00BD2B13">
        <w:t>Approximately $30–35 million per year</w:t>
      </w:r>
    </w:p>
    <w:p w14:paraId="552BBF92" w14:textId="77777777" w:rsidR="00BD2B13" w:rsidRPr="00BD2B13" w:rsidRDefault="00BD2B13" w:rsidP="00BD2B13">
      <w:r w:rsidRPr="00BD2B13">
        <w:lastRenderedPageBreak/>
        <w:pict w14:anchorId="5265325D">
          <v:rect id="_x0000_i1063" style="width:0;height:1.5pt" o:hralign="center" o:hrstd="t" o:hr="t" fillcolor="#a0a0a0" stroked="f"/>
        </w:pict>
      </w:r>
    </w:p>
    <w:p w14:paraId="0A612AFE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Estimated Arizona State-Level Public Return</w:t>
      </w:r>
    </w:p>
    <w:p w14:paraId="4CBB1BC7" w14:textId="77777777" w:rsidR="00BD2B13" w:rsidRPr="00BD2B13" w:rsidRDefault="00BD2B13" w:rsidP="00BD2B13">
      <w:r w:rsidRPr="00BD2B13">
        <w:t>Arizona's corporate income tax rate is approximately 4.9%.</w:t>
      </w:r>
    </w:p>
    <w:p w14:paraId="41258266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Corporate Tax Estimate</w:t>
      </w:r>
    </w:p>
    <w:p w14:paraId="57086C7A" w14:textId="77777777" w:rsidR="00BD2B13" w:rsidRPr="00BD2B13" w:rsidRDefault="00BD2B13" w:rsidP="00BD2B13">
      <w:r w:rsidRPr="00BD2B13">
        <w:t>$30 million profit × 4.9% = approximately $1.47 million</w:t>
      </w:r>
    </w:p>
    <w:p w14:paraId="793673F6" w14:textId="77777777" w:rsidR="00BD2B13" w:rsidRPr="00BD2B13" w:rsidRDefault="00BD2B13" w:rsidP="00BD2B13">
      <w:r w:rsidRPr="00BD2B13">
        <w:t>$35 million profit × 4.9% = approximately $1.72 million</w:t>
      </w:r>
    </w:p>
    <w:p w14:paraId="390B96EF" w14:textId="77777777" w:rsidR="00BD2B13" w:rsidRPr="00BD2B13" w:rsidRDefault="00BD2B13" w:rsidP="00BD2B13">
      <w:r w:rsidRPr="00BD2B13">
        <w:t>Additional state revenue may result from:</w:t>
      </w:r>
    </w:p>
    <w:p w14:paraId="0CAA1E54" w14:textId="77777777" w:rsidR="00BD2B13" w:rsidRPr="00BD2B13" w:rsidRDefault="00BD2B13" w:rsidP="00BD2B13">
      <w:pPr>
        <w:numPr>
          <w:ilvl w:val="0"/>
          <w:numId w:val="3"/>
        </w:numPr>
      </w:pPr>
      <w:r w:rsidRPr="00BD2B13">
        <w:t>Employee income-related spending</w:t>
      </w:r>
    </w:p>
    <w:p w14:paraId="755A2546" w14:textId="77777777" w:rsidR="00BD2B13" w:rsidRPr="00BD2B13" w:rsidRDefault="00BD2B13" w:rsidP="00BD2B13">
      <w:pPr>
        <w:numPr>
          <w:ilvl w:val="0"/>
          <w:numId w:val="3"/>
        </w:numPr>
      </w:pPr>
      <w:r w:rsidRPr="00BD2B13">
        <w:t>Sales-tax collections</w:t>
      </w:r>
    </w:p>
    <w:p w14:paraId="1E54E771" w14:textId="77777777" w:rsidR="00BD2B13" w:rsidRPr="00BD2B13" w:rsidRDefault="00BD2B13" w:rsidP="00BD2B13">
      <w:pPr>
        <w:numPr>
          <w:ilvl w:val="0"/>
          <w:numId w:val="3"/>
        </w:numPr>
      </w:pPr>
      <w:r w:rsidRPr="00BD2B13">
        <w:t>Fuel taxes</w:t>
      </w:r>
    </w:p>
    <w:p w14:paraId="3A3F9B04" w14:textId="77777777" w:rsidR="00BD2B13" w:rsidRPr="00BD2B13" w:rsidRDefault="00BD2B13" w:rsidP="00BD2B13">
      <w:pPr>
        <w:numPr>
          <w:ilvl w:val="0"/>
          <w:numId w:val="3"/>
        </w:numPr>
      </w:pPr>
      <w:r w:rsidRPr="00BD2B13">
        <w:t>Business purchases</w:t>
      </w:r>
    </w:p>
    <w:p w14:paraId="352AAE70" w14:textId="77777777" w:rsidR="00BD2B13" w:rsidRPr="00BD2B13" w:rsidRDefault="00BD2B13" w:rsidP="00BD2B13">
      <w:pPr>
        <w:numPr>
          <w:ilvl w:val="0"/>
          <w:numId w:val="3"/>
        </w:numPr>
      </w:pPr>
      <w:r w:rsidRPr="00BD2B13">
        <w:t>Supplier activity</w:t>
      </w:r>
    </w:p>
    <w:p w14:paraId="4172CB31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Estimated Arizona Public Return</w:t>
      </w:r>
    </w:p>
    <w:p w14:paraId="6BE9DBBC" w14:textId="77777777" w:rsidR="00BD2B13" w:rsidRPr="00BD2B13" w:rsidRDefault="00BD2B13" w:rsidP="00BD2B13">
      <w:r w:rsidRPr="00BD2B13">
        <w:t>Approximately $2–4 million annually</w:t>
      </w:r>
    </w:p>
    <w:p w14:paraId="059F9956" w14:textId="77777777" w:rsidR="00BD2B13" w:rsidRPr="00BD2B13" w:rsidRDefault="00BD2B13" w:rsidP="00BD2B13">
      <w:r w:rsidRPr="00BD2B13">
        <w:pict w14:anchorId="0F4A0529">
          <v:rect id="_x0000_i1064" style="width:0;height:1.5pt" o:hralign="center" o:hrstd="t" o:hr="t" fillcolor="#a0a0a0" stroked="f"/>
        </w:pict>
      </w:r>
    </w:p>
    <w:p w14:paraId="56CA2A38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Estimated Yuma County / Wellton Public Return</w:t>
      </w:r>
    </w:p>
    <w:p w14:paraId="24C2861B" w14:textId="77777777" w:rsidR="00BD2B13" w:rsidRPr="00BD2B13" w:rsidRDefault="00BD2B13" w:rsidP="00BD2B13">
      <w:r w:rsidRPr="00BD2B13">
        <w:t>Local governments generally receive revenue through:</w:t>
      </w:r>
    </w:p>
    <w:p w14:paraId="559F7287" w14:textId="77777777" w:rsidR="00BD2B13" w:rsidRPr="00BD2B13" w:rsidRDefault="00BD2B13" w:rsidP="00BD2B13">
      <w:pPr>
        <w:numPr>
          <w:ilvl w:val="0"/>
          <w:numId w:val="4"/>
        </w:numPr>
      </w:pPr>
      <w:r w:rsidRPr="00BD2B13">
        <w:t>Property taxes</w:t>
      </w:r>
    </w:p>
    <w:p w14:paraId="60F99223" w14:textId="77777777" w:rsidR="00BD2B13" w:rsidRPr="00BD2B13" w:rsidRDefault="00BD2B13" w:rsidP="00BD2B13">
      <w:pPr>
        <w:numPr>
          <w:ilvl w:val="0"/>
          <w:numId w:val="4"/>
        </w:numPr>
      </w:pPr>
      <w:r w:rsidRPr="00BD2B13">
        <w:t>Secondary property taxes</w:t>
      </w:r>
    </w:p>
    <w:p w14:paraId="61683489" w14:textId="77777777" w:rsidR="00BD2B13" w:rsidRPr="00BD2B13" w:rsidRDefault="00BD2B13" w:rsidP="00BD2B13">
      <w:pPr>
        <w:numPr>
          <w:ilvl w:val="0"/>
          <w:numId w:val="4"/>
        </w:numPr>
      </w:pPr>
      <w:r w:rsidRPr="00BD2B13">
        <w:t>Local economic activity</w:t>
      </w:r>
    </w:p>
    <w:p w14:paraId="75B45437" w14:textId="77777777" w:rsidR="00BD2B13" w:rsidRPr="00BD2B13" w:rsidRDefault="00BD2B13" w:rsidP="00BD2B13">
      <w:pPr>
        <w:numPr>
          <w:ilvl w:val="0"/>
          <w:numId w:val="4"/>
        </w:numPr>
      </w:pPr>
      <w:r w:rsidRPr="00BD2B13">
        <w:t>Permit-related fees</w:t>
      </w:r>
    </w:p>
    <w:p w14:paraId="220FCA21" w14:textId="77777777" w:rsidR="00BD2B13" w:rsidRPr="00BD2B13" w:rsidRDefault="00BD2B13" w:rsidP="00BD2B13">
      <w:pPr>
        <w:numPr>
          <w:ilvl w:val="0"/>
          <w:numId w:val="4"/>
        </w:numPr>
      </w:pPr>
      <w:r w:rsidRPr="00BD2B13">
        <w:t>Limited local sales-tax effects</w:t>
      </w:r>
    </w:p>
    <w:p w14:paraId="52CA091D" w14:textId="77777777" w:rsidR="00BD2B13" w:rsidRPr="00BD2B13" w:rsidRDefault="00BD2B13" w:rsidP="00BD2B13">
      <w:r w:rsidRPr="00BD2B13">
        <w:t>Because the facility is expected to employ approximately 60 permanent direct workers, local fiscal impacts are expected to be more limited than state-level impacts.</w:t>
      </w:r>
    </w:p>
    <w:p w14:paraId="2BCC6F0F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Estimated Local Public Return</w:t>
      </w:r>
    </w:p>
    <w:p w14:paraId="5CCD5DE7" w14:textId="77777777" w:rsidR="00BD2B13" w:rsidRPr="00BD2B13" w:rsidRDefault="00BD2B13" w:rsidP="00BD2B13">
      <w:r w:rsidRPr="00BD2B13">
        <w:t>Approximately $500,000–1 million annually</w:t>
      </w:r>
    </w:p>
    <w:p w14:paraId="4D983D62" w14:textId="77777777" w:rsidR="00BD2B13" w:rsidRPr="00BD2B13" w:rsidRDefault="00BD2B13" w:rsidP="00BD2B13">
      <w:r w:rsidRPr="00BD2B13">
        <w:pict w14:anchorId="25B4B489">
          <v:rect id="_x0000_i1065" style="width:0;height:1.5pt" o:hralign="center" o:hrstd="t" o:hr="t" fillcolor="#a0a0a0" stroked="f"/>
        </w:pict>
      </w:r>
    </w:p>
    <w:p w14:paraId="6477C9F7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Estimated Combined Public Return</w:t>
      </w:r>
    </w:p>
    <w:p w14:paraId="628C021D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Calculation</w:t>
      </w:r>
    </w:p>
    <w:p w14:paraId="3039F644" w14:textId="77777777" w:rsidR="00BD2B13" w:rsidRPr="00BD2B13" w:rsidRDefault="00BD2B13" w:rsidP="00BD2B13">
      <w:r w:rsidRPr="00BD2B13">
        <w:t>Arizona public return:</w:t>
      </w:r>
      <w:r w:rsidRPr="00BD2B13">
        <w:br/>
        <w:t>approximately $2–4 million</w:t>
      </w:r>
    </w:p>
    <w:p w14:paraId="3AA95F7A" w14:textId="77777777" w:rsidR="00BD2B13" w:rsidRPr="00BD2B13" w:rsidRDefault="00BD2B13" w:rsidP="00BD2B13">
      <w:r w:rsidRPr="00BD2B13">
        <w:t>Yuma County / Wellton public return:</w:t>
      </w:r>
      <w:r w:rsidRPr="00BD2B13">
        <w:br/>
        <w:t>approximately $500,000–1 million</w:t>
      </w:r>
    </w:p>
    <w:p w14:paraId="0EC09DD2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Combined Estimate</w:t>
      </w:r>
    </w:p>
    <w:p w14:paraId="0E73343E" w14:textId="77777777" w:rsidR="00BD2B13" w:rsidRPr="00BD2B13" w:rsidRDefault="00BD2B13" w:rsidP="00BD2B13">
      <w:r w:rsidRPr="00BD2B13">
        <w:t>Approximately $2.5–5 million annually</w:t>
      </w:r>
    </w:p>
    <w:p w14:paraId="74A7F5C7" w14:textId="77777777" w:rsidR="00BD2B13" w:rsidRPr="00BD2B13" w:rsidRDefault="00BD2B13" w:rsidP="00BD2B13">
      <w:r w:rsidRPr="00BD2B13">
        <w:pict w14:anchorId="207EBFEB">
          <v:rect id="_x0000_i1066" style="width:0;height:1.5pt" o:hralign="center" o:hrstd="t" o:hr="t" fillcolor="#a0a0a0" stroked="f"/>
        </w:pict>
      </w:r>
    </w:p>
    <w:p w14:paraId="6A8CC987" w14:textId="77777777" w:rsidR="00BD2B13" w:rsidRPr="00BD2B13" w:rsidRDefault="00BD2B13" w:rsidP="00BD2B13">
      <w:pPr>
        <w:rPr>
          <w:b/>
          <w:bCs/>
        </w:rPr>
      </w:pPr>
      <w:r w:rsidRPr="00BD2B13">
        <w:rPr>
          <w:b/>
          <w:bCs/>
        </w:rPr>
        <w:t>Important Limitations</w:t>
      </w:r>
    </w:p>
    <w:p w14:paraId="361C3229" w14:textId="77777777" w:rsidR="00BD2B13" w:rsidRPr="00BD2B13" w:rsidRDefault="00BD2B13" w:rsidP="00BD2B13">
      <w:r w:rsidRPr="00BD2B13">
        <w:t>These estimates:</w:t>
      </w:r>
    </w:p>
    <w:p w14:paraId="72BD1ADE" w14:textId="77777777" w:rsidR="00BD2B13" w:rsidRPr="00BD2B13" w:rsidRDefault="00BD2B13" w:rsidP="00BD2B13">
      <w:pPr>
        <w:numPr>
          <w:ilvl w:val="0"/>
          <w:numId w:val="5"/>
        </w:numPr>
      </w:pPr>
      <w:r w:rsidRPr="00BD2B13">
        <w:t>Are not audited fiscal-impact figures.</w:t>
      </w:r>
    </w:p>
    <w:p w14:paraId="5BBCBDE5" w14:textId="77777777" w:rsidR="00BD2B13" w:rsidRPr="00BD2B13" w:rsidRDefault="00BD2B13" w:rsidP="00BD2B13">
      <w:pPr>
        <w:numPr>
          <w:ilvl w:val="0"/>
          <w:numId w:val="5"/>
        </w:numPr>
      </w:pPr>
      <w:r w:rsidRPr="00BD2B13">
        <w:t>Are not official company projections.</w:t>
      </w:r>
    </w:p>
    <w:p w14:paraId="72CDCEC8" w14:textId="77777777" w:rsidR="00BD2B13" w:rsidRPr="00BD2B13" w:rsidRDefault="00BD2B13" w:rsidP="00BD2B13">
      <w:pPr>
        <w:numPr>
          <w:ilvl w:val="0"/>
          <w:numId w:val="5"/>
        </w:numPr>
      </w:pPr>
      <w:r w:rsidRPr="00BD2B13">
        <w:t>Do not account for future tax incentives, abatements, exemptions, depreciation schedules, or financing structures.</w:t>
      </w:r>
    </w:p>
    <w:p w14:paraId="5C82D1A1" w14:textId="77777777" w:rsidR="00BD2B13" w:rsidRPr="00BD2B13" w:rsidRDefault="00BD2B13" w:rsidP="00BD2B13">
      <w:pPr>
        <w:numPr>
          <w:ilvl w:val="0"/>
          <w:numId w:val="5"/>
        </w:numPr>
      </w:pPr>
      <w:r w:rsidRPr="00BD2B13">
        <w:t>Do not account for potential changes in commodity prices, profitability, production levels, or future tax law.</w:t>
      </w:r>
    </w:p>
    <w:p w14:paraId="21B0FAD0" w14:textId="77777777" w:rsidR="00BD2B13" w:rsidRPr="00BD2B13" w:rsidRDefault="00BD2B13" w:rsidP="00BD2B13">
      <w:pPr>
        <w:numPr>
          <w:ilvl w:val="0"/>
          <w:numId w:val="5"/>
        </w:numPr>
      </w:pPr>
      <w:r w:rsidRPr="00BD2B13">
        <w:t>Should be viewed as preliminary analytical estimates intended to support public discussion and further clarification.</w:t>
      </w:r>
    </w:p>
    <w:p w14:paraId="1D92B191" w14:textId="77777777" w:rsidR="00BD2B13" w:rsidRPr="00BD2B13" w:rsidRDefault="00BD2B13" w:rsidP="00BD2B13">
      <w:r w:rsidRPr="00BD2B13">
        <w:t>The purpose of these estimates is not to determine whether the project has value, but to provide a framework for evaluating how public return compares to project scale, public support, and community involvement.</w:t>
      </w:r>
    </w:p>
    <w:p w14:paraId="2B785DBD" w14:textId="77777777" w:rsidR="006D4755" w:rsidRDefault="006D4755"/>
    <w:sectPr w:rsidR="006D47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83E31"/>
    <w:multiLevelType w:val="multilevel"/>
    <w:tmpl w:val="53DC8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0540EA"/>
    <w:multiLevelType w:val="multilevel"/>
    <w:tmpl w:val="15B64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3D5EA4"/>
    <w:multiLevelType w:val="multilevel"/>
    <w:tmpl w:val="1D9E7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6B2C14"/>
    <w:multiLevelType w:val="multilevel"/>
    <w:tmpl w:val="59625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AC2685"/>
    <w:multiLevelType w:val="multilevel"/>
    <w:tmpl w:val="F5EAC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0444905">
    <w:abstractNumId w:val="3"/>
  </w:num>
  <w:num w:numId="2" w16cid:durableId="145898095">
    <w:abstractNumId w:val="1"/>
  </w:num>
  <w:num w:numId="3" w16cid:durableId="407192050">
    <w:abstractNumId w:val="4"/>
  </w:num>
  <w:num w:numId="4" w16cid:durableId="1200509629">
    <w:abstractNumId w:val="0"/>
  </w:num>
  <w:num w:numId="5" w16cid:durableId="40884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B13"/>
    <w:rsid w:val="002B3602"/>
    <w:rsid w:val="006D4755"/>
    <w:rsid w:val="00BD2B13"/>
    <w:rsid w:val="00E8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5ED39"/>
  <w15:chartTrackingRefBased/>
  <w15:docId w15:val="{4A128D7E-AC11-4F0B-96BD-A588A43C5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2B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B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2B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B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B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B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B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B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B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2B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2B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2B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2B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B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B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B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B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B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2B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2B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B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2B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2B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2B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2B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2B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B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B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2B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401</Words>
  <Characters>2639</Characters>
  <Application>Microsoft Office Word</Application>
  <DocSecurity>0</DocSecurity>
  <Lines>76</Lines>
  <Paragraphs>58</Paragraphs>
  <ScaleCrop>false</ScaleCrop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Coffee</dc:creator>
  <cp:keywords/>
  <dc:description/>
  <cp:lastModifiedBy>Mike Coffee</cp:lastModifiedBy>
  <cp:revision>1</cp:revision>
  <dcterms:created xsi:type="dcterms:W3CDTF">2026-06-11T07:47:00Z</dcterms:created>
  <dcterms:modified xsi:type="dcterms:W3CDTF">2026-06-11T07:49:00Z</dcterms:modified>
</cp:coreProperties>
</file>